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BCC94" w14:textId="77777777" w:rsidR="00366C41" w:rsidRDefault="00366C41" w:rsidP="00366C41">
      <w:pPr>
        <w:widowControl w:val="0"/>
        <w:spacing w:line="360" w:lineRule="auto"/>
        <w:ind w:firstLine="3"/>
        <w:jc w:val="center"/>
        <w:rPr>
          <w:b/>
          <w:snapToGrid w:val="0"/>
          <w:sz w:val="24"/>
          <w:szCs w:val="24"/>
        </w:rPr>
      </w:pPr>
      <w:r>
        <w:rPr>
          <w:b/>
          <w:snapToGrid w:val="0"/>
          <w:sz w:val="24"/>
          <w:szCs w:val="24"/>
        </w:rPr>
        <w:t>Обязательная информация</w:t>
      </w:r>
    </w:p>
    <w:p w14:paraId="03841E37" w14:textId="77777777" w:rsidR="00366C41" w:rsidRDefault="00366C41" w:rsidP="00366C41">
      <w:pPr>
        <w:widowControl w:val="0"/>
        <w:spacing w:line="360" w:lineRule="auto"/>
        <w:ind w:firstLine="708"/>
        <w:jc w:val="both"/>
        <w:rPr>
          <w:snapToGrid w:val="0"/>
          <w:sz w:val="24"/>
          <w:szCs w:val="24"/>
        </w:rPr>
      </w:pPr>
    </w:p>
    <w:p w14:paraId="7E87CC4A" w14:textId="77777777" w:rsidR="00366C41" w:rsidRDefault="00366C41" w:rsidP="00366C41">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AB52872" w14:textId="77777777" w:rsidR="00366C41" w:rsidRDefault="00366C41" w:rsidP="00366C41">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52DD771A" w14:textId="77777777" w:rsidR="00366C41" w:rsidRDefault="00366C41" w:rsidP="00366C41">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51D810C6" w14:textId="152F0A8C" w:rsidR="00366C41" w:rsidRDefault="00366C41" w:rsidP="00366C41">
      <w:pPr>
        <w:spacing w:after="200" w:line="276" w:lineRule="auto"/>
        <w:jc w:val="both"/>
        <w:rPr>
          <w:b/>
          <w:bCs/>
          <w:spacing w:val="-7"/>
          <w:sz w:val="24"/>
          <w:szCs w:val="24"/>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w:t>
      </w:r>
      <w:bookmarkStart w:id="0" w:name="_GoBack"/>
      <w:bookmarkEnd w:id="0"/>
      <w:r>
        <w:rPr>
          <w:snapToGrid w:val="0"/>
          <w:sz w:val="28"/>
          <w:szCs w:val="28"/>
        </w:rPr>
        <w:t>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4"/>
          <w:szCs w:val="24"/>
        </w:rPr>
        <w:br w:type="page"/>
      </w:r>
    </w:p>
    <w:p w14:paraId="34B828A6" w14:textId="602A4CFB" w:rsidR="004B484F" w:rsidRPr="00FA1749" w:rsidRDefault="004B484F">
      <w:pPr>
        <w:pStyle w:val="1"/>
        <w:spacing w:before="60" w:after="60" w:line="240" w:lineRule="auto"/>
        <w:ind w:left="0"/>
        <w:rPr>
          <w:b/>
          <w:bCs/>
          <w:color w:val="auto"/>
          <w:sz w:val="24"/>
          <w:szCs w:val="24"/>
        </w:rPr>
      </w:pPr>
      <w:r w:rsidRPr="00FA1749">
        <w:rPr>
          <w:b/>
          <w:bCs/>
          <w:color w:val="auto"/>
          <w:sz w:val="24"/>
          <w:szCs w:val="24"/>
        </w:rPr>
        <w:lastRenderedPageBreak/>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E40A24">
      <w:pPr>
        <w:spacing w:before="60" w:after="6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57C097A9" w14:textId="77777777" w:rsidR="008E2BF5" w:rsidRDefault="00223A3E" w:rsidP="00F82CF0">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акции</w:t>
      </w:r>
      <w:r w:rsidR="00F4774F">
        <w:rPr>
          <w:sz w:val="22"/>
          <w:szCs w:val="22"/>
        </w:rPr>
        <w:t xml:space="preserve">. </w:t>
      </w:r>
    </w:p>
    <w:p w14:paraId="4FC83AE5" w14:textId="57B6FCF8" w:rsidR="003E1984" w:rsidRPr="00971987" w:rsidRDefault="003E1984" w:rsidP="00971987">
      <w:pPr>
        <w:pStyle w:val="afa"/>
        <w:numPr>
          <w:ilvl w:val="1"/>
          <w:numId w:val="16"/>
        </w:numPr>
        <w:jc w:val="both"/>
        <w:rPr>
          <w:color w:val="000000"/>
          <w:sz w:val="22"/>
          <w:szCs w:val="22"/>
        </w:rPr>
      </w:pPr>
      <w:r w:rsidRPr="00971987">
        <w:rPr>
          <w:color w:val="000000"/>
          <w:sz w:val="22"/>
          <w:szCs w:val="22"/>
        </w:rPr>
        <w:t>Формирование портфеля акций фонда.</w:t>
      </w:r>
    </w:p>
    <w:p w14:paraId="4F883DDB" w14:textId="77777777" w:rsidR="003E1984" w:rsidRPr="00D51458" w:rsidRDefault="003E1984" w:rsidP="003E1984">
      <w:pPr>
        <w:ind w:firstLine="720"/>
        <w:jc w:val="both"/>
        <w:rPr>
          <w:sz w:val="22"/>
          <w:szCs w:val="22"/>
        </w:rPr>
      </w:pPr>
      <w:r w:rsidRPr="00D51458">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D51458">
        <w:rPr>
          <w:color w:val="000000" w:themeColor="text1"/>
          <w:sz w:val="22"/>
          <w:szCs w:val="22"/>
        </w:rPr>
        <w:t xml:space="preserve">на основе как </w:t>
      </w:r>
      <w:r w:rsidRPr="00D51458">
        <w:rPr>
          <w:sz w:val="22"/>
          <w:szCs w:val="22"/>
        </w:rPr>
        <w:t xml:space="preserve">макроэкономического анализа, так и анализа фундаментальных показателей </w:t>
      </w:r>
      <w:r>
        <w:rPr>
          <w:sz w:val="22"/>
          <w:szCs w:val="22"/>
        </w:rPr>
        <w:t>компаний (</w:t>
      </w:r>
      <w:r w:rsidRPr="00D51458">
        <w:rPr>
          <w:sz w:val="22"/>
          <w:szCs w:val="22"/>
        </w:rPr>
        <w:t>эмитентов</w:t>
      </w:r>
      <w:r>
        <w:rPr>
          <w:sz w:val="22"/>
          <w:szCs w:val="22"/>
        </w:rPr>
        <w:t>)</w:t>
      </w:r>
      <w:r w:rsidRPr="00D51458">
        <w:rPr>
          <w:sz w:val="22"/>
          <w:szCs w:val="22"/>
        </w:rPr>
        <w:t xml:space="preserve"> с учетом имеющейся у </w:t>
      </w:r>
      <w:r w:rsidRPr="00D51458">
        <w:rPr>
          <w:color w:val="000000"/>
          <w:sz w:val="22"/>
          <w:szCs w:val="22"/>
        </w:rPr>
        <w:t>управляющей</w:t>
      </w:r>
      <w:r w:rsidRPr="00D51458">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38B9CC28" w14:textId="77777777" w:rsidR="003E1984" w:rsidRPr="002E6CBF" w:rsidRDefault="003E1984" w:rsidP="003E1984">
      <w:pPr>
        <w:ind w:firstLine="720"/>
        <w:jc w:val="both"/>
        <w:rPr>
          <w:color w:val="000000" w:themeColor="text1"/>
          <w:sz w:val="22"/>
          <w:szCs w:val="22"/>
        </w:rPr>
      </w:pPr>
      <w:r w:rsidRPr="002E6CBF">
        <w:rPr>
          <w:color w:val="000000" w:themeColor="text1"/>
          <w:sz w:val="22"/>
          <w:szCs w:val="22"/>
        </w:rPr>
        <w:t xml:space="preserve">Целью макроэкономического анализа является выявление 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4AD9ECF4" w14:textId="77777777" w:rsidR="003E1984" w:rsidRPr="008038E5" w:rsidRDefault="003E1984" w:rsidP="003E1984">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25641EFD" w14:textId="77777777" w:rsidR="003E1984" w:rsidRPr="00AD4261" w:rsidRDefault="003E1984" w:rsidP="003E1984">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w:t>
      </w:r>
      <w:r>
        <w:rPr>
          <w:color w:val="000000" w:themeColor="text1"/>
          <w:sz w:val="22"/>
          <w:szCs w:val="22"/>
        </w:rPr>
        <w:lastRenderedPageBreak/>
        <w:t xml:space="preserve">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0D059B4B" w14:textId="77777777" w:rsidR="003E1984" w:rsidRDefault="003E1984" w:rsidP="003E1984">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2B233562" w14:textId="49ABCFC3" w:rsidR="003E1984" w:rsidRDefault="003E1984" w:rsidP="003E1984">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w:t>
      </w:r>
    </w:p>
    <w:p w14:paraId="00C3BFBB" w14:textId="77777777" w:rsidR="003E1984" w:rsidRDefault="003E1984" w:rsidP="003E1984">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09F1537" w14:textId="77777777" w:rsidR="003E1984" w:rsidRDefault="003E1984" w:rsidP="003E1984">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79EE221B" w14:textId="77777777" w:rsidR="00E15786" w:rsidRDefault="00E15786" w:rsidP="00E40A24">
      <w:pPr>
        <w:spacing w:before="60" w:after="60"/>
        <w:jc w:val="both"/>
        <w:rPr>
          <w:b/>
          <w:sz w:val="22"/>
          <w:szCs w:val="22"/>
        </w:rPr>
      </w:pPr>
    </w:p>
    <w:p w14:paraId="1201A4D9" w14:textId="7D1E3920" w:rsidR="00AD45A2" w:rsidRPr="00543CC8" w:rsidRDefault="00AD45A2" w:rsidP="00E40A24">
      <w:pPr>
        <w:pStyle w:val="afa"/>
        <w:numPr>
          <w:ilvl w:val="1"/>
          <w:numId w:val="16"/>
        </w:numPr>
        <w:spacing w:before="60" w:after="60"/>
        <w:jc w:val="both"/>
        <w:rPr>
          <w:sz w:val="22"/>
          <w:szCs w:val="22"/>
        </w:rPr>
      </w:pPr>
      <w:proofErr w:type="spellStart"/>
      <w:r w:rsidRPr="00543CC8">
        <w:rPr>
          <w:sz w:val="22"/>
          <w:szCs w:val="22"/>
        </w:rPr>
        <w:t>Бенчмарк</w:t>
      </w:r>
      <w:proofErr w:type="spellEnd"/>
    </w:p>
    <w:p w14:paraId="60C80675" w14:textId="77777777" w:rsidR="00596CA6" w:rsidRPr="00971987" w:rsidRDefault="00596CA6" w:rsidP="00971987">
      <w:pPr>
        <w:ind w:firstLine="360"/>
        <w:jc w:val="both"/>
        <w:rPr>
          <w:sz w:val="22"/>
          <w:szCs w:val="22"/>
          <w:lang w:eastAsia="ru-RU"/>
        </w:rPr>
      </w:pPr>
      <w:r w:rsidRPr="0097198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оппортунистический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r w:rsidRPr="00971987">
        <w:rPr>
          <w:sz w:val="22"/>
          <w:szCs w:val="22"/>
          <w:lang w:eastAsia="ru-RU"/>
        </w:rPr>
        <w:t xml:space="preserve"> </w:t>
      </w:r>
    </w:p>
    <w:p w14:paraId="35B636BD" w14:textId="77777777" w:rsidR="00223A3E" w:rsidRPr="00F4774F" w:rsidRDefault="00223A3E" w:rsidP="00AC0C43">
      <w:pPr>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41890BB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0D74DAFF"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BB4E62">
        <w:rPr>
          <w:sz w:val="22"/>
          <w:szCs w:val="22"/>
          <w:lang w:eastAsia="ru-RU"/>
        </w:rPr>
        <w:t xml:space="preserve"> </w:t>
      </w:r>
      <w:r w:rsidR="00263B98" w:rsidRPr="00F82CF0">
        <w:rPr>
          <w:sz w:val="22"/>
          <w:szCs w:val="22"/>
          <w:lang w:eastAsia="ru-RU"/>
        </w:rPr>
        <w:t xml:space="preserve">код CFI, присвоенный указанным паям (акциям), имеет следующее значение: </w:t>
      </w:r>
    </w:p>
    <w:p w14:paraId="3F1B8F7E" w14:textId="74449E45" w:rsidR="00BC1786" w:rsidRDefault="00263B98" w:rsidP="00AC0C43">
      <w:pPr>
        <w:autoSpaceDE w:val="0"/>
        <w:autoSpaceDN w:val="0"/>
        <w:ind w:firstLine="567"/>
        <w:jc w:val="both"/>
        <w:rPr>
          <w:sz w:val="22"/>
          <w:szCs w:val="22"/>
          <w:lang w:eastAsia="ru-RU"/>
        </w:rPr>
      </w:pPr>
      <w:r w:rsidRPr="00F82CF0">
        <w:rPr>
          <w:sz w:val="22"/>
          <w:szCs w:val="22"/>
          <w:lang w:eastAsia="ru-RU"/>
        </w:rPr>
        <w:lastRenderedPageBreak/>
        <w:t>первая буква – значение «E», вторая буква – значение «U», третья буква - значение «O», или «C»,</w:t>
      </w:r>
      <w:r w:rsidRPr="00BB4E62">
        <w:rPr>
          <w:sz w:val="22"/>
          <w:szCs w:val="22"/>
          <w:lang w:eastAsia="ru-RU"/>
        </w:rPr>
        <w:t xml:space="preserve"> пятая буква – 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proofErr w:type="gramStart"/>
      <w:r w:rsidRPr="00F82CF0">
        <w:rPr>
          <w:sz w:val="22"/>
          <w:szCs w:val="22"/>
          <w:lang w:eastAsia="ru-RU"/>
        </w:rPr>
        <w:t xml:space="preserve">», </w:t>
      </w:r>
      <w:r w:rsidRPr="00BB4E62">
        <w:rPr>
          <w:sz w:val="22"/>
          <w:szCs w:val="22"/>
          <w:lang w:eastAsia="ru-RU"/>
        </w:rPr>
        <w:t xml:space="preserve"> за</w:t>
      </w:r>
      <w:proofErr w:type="gramEnd"/>
      <w:r w:rsidRPr="00BB4E62">
        <w:rPr>
          <w:sz w:val="22"/>
          <w:szCs w:val="22"/>
          <w:lang w:eastAsia="ru-RU"/>
        </w:rPr>
        <w:t xml:space="preserve">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04B38CC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3690B27"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622F9ABE"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0DBD1229" w14:textId="51E1B0FB" w:rsidR="00B1269D" w:rsidRPr="00AC0C43" w:rsidRDefault="00AC0C43" w:rsidP="00B1269D">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lastRenderedPageBreak/>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0B7DD283" w14:textId="456E1AD1" w:rsidR="00AF2518" w:rsidRDefault="00EF3673" w:rsidP="00AF2518">
      <w:pPr>
        <w:ind w:firstLine="567"/>
        <w:jc w:val="both"/>
        <w:rPr>
          <w:sz w:val="22"/>
          <w:szCs w:val="22"/>
        </w:rPr>
      </w:pPr>
      <w:r w:rsidRPr="004156E3">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w:t>
      </w:r>
      <w:r w:rsidR="00AF2518">
        <w:rPr>
          <w:sz w:val="22"/>
          <w:szCs w:val="22"/>
        </w:rPr>
        <w:t xml:space="preserve">, </w:t>
      </w:r>
      <w:r w:rsidR="00AF2518">
        <w:rPr>
          <w:sz w:val="22"/>
          <w:szCs w:val="22"/>
          <w:lang w:eastAsia="ru-RU"/>
        </w:rPr>
        <w:t xml:space="preserve">а также ценные бумаги, </w:t>
      </w:r>
      <w:r w:rsidR="00AF2518" w:rsidRPr="002D0DF2">
        <w:rPr>
          <w:sz w:val="22"/>
          <w:szCs w:val="22"/>
          <w:lang w:eastAsia="ru-RU"/>
        </w:rPr>
        <w:t xml:space="preserve">определенные в </w:t>
      </w:r>
      <w:r w:rsidR="00AF2518">
        <w:rPr>
          <w:sz w:val="22"/>
          <w:szCs w:val="22"/>
          <w:lang w:eastAsia="ru-RU"/>
        </w:rPr>
        <w:t>Указании</w:t>
      </w:r>
      <w:r w:rsidR="00AF2518"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w:t>
      </w:r>
      <w:r w:rsidR="00AF2518" w:rsidRPr="002D0DF2">
        <w:rPr>
          <w:sz w:val="22"/>
          <w:szCs w:val="22"/>
          <w:lang w:eastAsia="ru-RU"/>
        </w:rPr>
        <w:lastRenderedPageBreak/>
        <w:t>марта 2023 года, регистрационный N 72509) (далее - Указание Банка России от 9 января 2023 года N 6347-У)</w:t>
      </w:r>
      <w:r w:rsidR="00AF2518" w:rsidRPr="004156E3">
        <w:rPr>
          <w:sz w:val="22"/>
          <w:szCs w:val="22"/>
        </w:rPr>
        <w:t>.</w:t>
      </w:r>
    </w:p>
    <w:p w14:paraId="74A783A1" w14:textId="77777777" w:rsidR="006216C0" w:rsidRDefault="00AF6D60" w:rsidP="00BB2A42">
      <w:pPr>
        <w:ind w:firstLine="567"/>
        <w:jc w:val="both"/>
        <w:rPr>
          <w:sz w:val="22"/>
          <w:szCs w:val="22"/>
          <w:lang w:eastAsia="ru-RU"/>
        </w:rPr>
      </w:pPr>
      <w:r>
        <w:rPr>
          <w:sz w:val="22"/>
          <w:szCs w:val="22"/>
        </w:rPr>
        <w:t xml:space="preserve">22.9. </w:t>
      </w:r>
      <w:r w:rsidR="00EF3673" w:rsidRPr="004156E3">
        <w:rPr>
          <w:color w:val="000000" w:themeColor="text1"/>
          <w:sz w:val="22"/>
          <w:szCs w:val="22"/>
        </w:rPr>
        <w:t xml:space="preserve">В состав активов фонда не могут входить производные финансовые инструменты, </w:t>
      </w:r>
      <w:r w:rsidR="00003BD9"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003BD9" w:rsidRPr="00826C25">
          <w:rPr>
            <w:sz w:val="22"/>
            <w:szCs w:val="22"/>
            <w:lang w:eastAsia="ru-RU"/>
          </w:rPr>
          <w:t>Указании</w:t>
        </w:r>
      </w:hyperlink>
      <w:r w:rsidR="00003BD9" w:rsidRPr="00826C25">
        <w:rPr>
          <w:sz w:val="22"/>
          <w:szCs w:val="22"/>
          <w:lang w:eastAsia="ru-RU"/>
        </w:rPr>
        <w:t xml:space="preserve"> Банка России от 9 января 2023 года N 6347-У.</w:t>
      </w:r>
    </w:p>
    <w:p w14:paraId="22908E61" w14:textId="78126487" w:rsidR="00BB2A42" w:rsidRDefault="00BB2A42" w:rsidP="00BB2A42">
      <w:pPr>
        <w:ind w:firstLine="567"/>
        <w:jc w:val="both"/>
        <w:rPr>
          <w:sz w:val="22"/>
          <w:szCs w:val="22"/>
        </w:rPr>
      </w:pPr>
      <w:r w:rsidRPr="00E0162A">
        <w:rPr>
          <w:sz w:val="22"/>
          <w:szCs w:val="22"/>
        </w:rPr>
        <w:t>2</w:t>
      </w:r>
      <w:r w:rsidR="00407BC8">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70ACFE68" w:rsidR="00BB2A42" w:rsidRPr="00E0162A" w:rsidRDefault="00407BC8" w:rsidP="00BB2A42">
      <w:pPr>
        <w:ind w:firstLine="567"/>
        <w:jc w:val="both"/>
        <w:rPr>
          <w:sz w:val="22"/>
          <w:szCs w:val="22"/>
        </w:rPr>
      </w:pPr>
      <w:r>
        <w:rPr>
          <w:sz w:val="22"/>
          <w:szCs w:val="22"/>
        </w:rPr>
        <w:t>22</w:t>
      </w:r>
      <w:r w:rsidR="00BB2A42">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23476016"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4E06A911"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7D4359AB" w:rsidR="008A3C96" w:rsidRDefault="008A3C96" w:rsidP="008A3C96">
      <w:pPr>
        <w:ind w:firstLine="567"/>
        <w:jc w:val="both"/>
        <w:rPr>
          <w:sz w:val="22"/>
          <w:szCs w:val="22"/>
          <w:lang w:eastAsia="ru-RU"/>
        </w:rPr>
      </w:pPr>
      <w:r>
        <w:rPr>
          <w:sz w:val="22"/>
          <w:szCs w:val="22"/>
          <w:lang w:eastAsia="ru-RU"/>
        </w:rPr>
        <w:t>22.14. В целях применения пункт</w:t>
      </w:r>
      <w:r w:rsidR="00003BD9">
        <w:rPr>
          <w:sz w:val="22"/>
          <w:szCs w:val="22"/>
          <w:lang w:eastAsia="ru-RU"/>
        </w:rPr>
        <w:t>ов</w:t>
      </w:r>
      <w:r>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B28D627"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 xml:space="preserve">овокупности не должны </w:t>
      </w:r>
      <w:proofErr w:type="gramStart"/>
      <w:r w:rsidR="0060251D">
        <w:rPr>
          <w:sz w:val="22"/>
          <w:szCs w:val="22"/>
        </w:rPr>
        <w:t>превышать</w:t>
      </w:r>
      <w:r w:rsidR="00EF3673" w:rsidRPr="004156E3">
        <w:rPr>
          <w:sz w:val="22"/>
          <w:szCs w:val="22"/>
        </w:rPr>
        <w:t xml:space="preserve">  10</w:t>
      </w:r>
      <w:proofErr w:type="gramEnd"/>
      <w:r w:rsidR="00EF3673" w:rsidRPr="004156E3">
        <w:rPr>
          <w:sz w:val="22"/>
          <w:szCs w:val="22"/>
        </w:rPr>
        <w:t xml:space="preserve"> (Десять) процентов стоимости активов фонда</w:t>
      </w:r>
      <w:r w:rsidR="008C2E9C">
        <w:rPr>
          <w:sz w:val="22"/>
          <w:szCs w:val="22"/>
        </w:rPr>
        <w:t xml:space="preserve">. </w:t>
      </w:r>
      <w:r w:rsidRPr="008B6688">
        <w:rPr>
          <w:sz w:val="22"/>
          <w:szCs w:val="22"/>
          <w:lang w:eastAsia="ru-RU"/>
        </w:rPr>
        <w:lastRenderedPageBreak/>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3"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4"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lastRenderedPageBreak/>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6553884D" w:rsidR="001B321E" w:rsidRP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54A639D" w14:textId="6D2B2218" w:rsidR="00706CFA" w:rsidRDefault="00A50C87" w:rsidP="0007393A">
      <w:pPr>
        <w:autoSpaceDE w:val="0"/>
        <w:autoSpaceDN w:val="0"/>
        <w:adjustRightInd w:val="0"/>
        <w:ind w:firstLine="567"/>
        <w:jc w:val="both"/>
        <w:rPr>
          <w:sz w:val="22"/>
          <w:szCs w:val="22"/>
        </w:rPr>
      </w:pPr>
      <w:r w:rsidRPr="00D349A9">
        <w:rPr>
          <w:sz w:val="22"/>
          <w:szCs w:val="22"/>
          <w:lang w:eastAsia="ru-RU"/>
        </w:rPr>
        <w:t>23.1.</w:t>
      </w:r>
      <w:r w:rsidR="00B11DE8">
        <w:rPr>
          <w:sz w:val="22"/>
          <w:szCs w:val="22"/>
          <w:lang w:eastAsia="ru-RU"/>
        </w:rPr>
        <w:t>4</w:t>
      </w:r>
      <w:r w:rsidRPr="00D349A9">
        <w:rPr>
          <w:sz w:val="22"/>
          <w:szCs w:val="22"/>
          <w:lang w:eastAsia="ru-RU"/>
        </w:rPr>
        <w:t xml:space="preserve">. </w:t>
      </w:r>
      <w:r w:rsidR="00706CFA" w:rsidRPr="00EF71F8">
        <w:rPr>
          <w:sz w:val="22"/>
          <w:szCs w:val="22"/>
        </w:rPr>
        <w:t xml:space="preserve">Не менее двух третей рабочих дней в течение </w:t>
      </w:r>
      <w:r w:rsidR="00706CFA">
        <w:rPr>
          <w:sz w:val="22"/>
          <w:szCs w:val="22"/>
        </w:rPr>
        <w:t>каждого</w:t>
      </w:r>
      <w:r w:rsidR="00706CFA" w:rsidRPr="00EF71F8">
        <w:rPr>
          <w:sz w:val="22"/>
          <w:szCs w:val="22"/>
        </w:rPr>
        <w:t xml:space="preserve"> календарного квартала совокупная оценочная стоимость </w:t>
      </w:r>
      <w:r w:rsidR="00706CFA">
        <w:rPr>
          <w:sz w:val="22"/>
          <w:szCs w:val="22"/>
        </w:rPr>
        <w:t>следующ</w:t>
      </w:r>
      <w:r w:rsidR="008A3C96">
        <w:rPr>
          <w:sz w:val="22"/>
          <w:szCs w:val="22"/>
        </w:rPr>
        <w:t>их активов (одного или нескольких</w:t>
      </w:r>
      <w:r w:rsidR="00706CFA">
        <w:rPr>
          <w:sz w:val="22"/>
          <w:szCs w:val="22"/>
        </w:rPr>
        <w:t xml:space="preserve">) должна составлять не менее 80% стоимости активов, составляющих фонд: </w:t>
      </w:r>
    </w:p>
    <w:p w14:paraId="41DC6C7B" w14:textId="7765FBEA" w:rsidR="00706CFA" w:rsidRDefault="008A3C96" w:rsidP="0060251D">
      <w:pPr>
        <w:autoSpaceDE w:val="0"/>
        <w:autoSpaceDN w:val="0"/>
        <w:adjustRightInd w:val="0"/>
        <w:ind w:firstLine="720"/>
        <w:jc w:val="both"/>
        <w:rPr>
          <w:sz w:val="22"/>
          <w:szCs w:val="22"/>
        </w:rPr>
      </w:pPr>
      <w:r>
        <w:rPr>
          <w:sz w:val="22"/>
          <w:szCs w:val="22"/>
        </w:rPr>
        <w:t xml:space="preserve">23.1.4.1. </w:t>
      </w:r>
      <w:r w:rsidR="00706CFA">
        <w:rPr>
          <w:sz w:val="22"/>
          <w:szCs w:val="22"/>
        </w:rPr>
        <w:t>акций</w:t>
      </w:r>
      <w:r w:rsidRPr="008A3C96">
        <w:rPr>
          <w:sz w:val="22"/>
          <w:szCs w:val="22"/>
        </w:rPr>
        <w:t xml:space="preserve"> </w:t>
      </w:r>
      <w:r>
        <w:rPr>
          <w:sz w:val="22"/>
          <w:szCs w:val="22"/>
        </w:rPr>
        <w:t>российских и/или иностранных акционерных обществ</w:t>
      </w:r>
      <w:r w:rsidR="00BD3CA0">
        <w:rPr>
          <w:sz w:val="22"/>
          <w:szCs w:val="22"/>
        </w:rPr>
        <w:t xml:space="preserve"> </w:t>
      </w:r>
      <w:r>
        <w:rPr>
          <w:sz w:val="22"/>
          <w:szCs w:val="22"/>
        </w:rPr>
        <w:t>(далее – целевой актив)</w:t>
      </w:r>
      <w:r w:rsidR="00706CFA">
        <w:rPr>
          <w:sz w:val="22"/>
          <w:szCs w:val="22"/>
        </w:rPr>
        <w:t xml:space="preserve">; </w:t>
      </w:r>
    </w:p>
    <w:p w14:paraId="403A7AA2" w14:textId="60895F6A" w:rsidR="00706CFA" w:rsidRDefault="008A3C96" w:rsidP="0060251D">
      <w:pPr>
        <w:autoSpaceDE w:val="0"/>
        <w:autoSpaceDN w:val="0"/>
        <w:adjustRightInd w:val="0"/>
        <w:ind w:firstLine="720"/>
        <w:jc w:val="both"/>
        <w:rPr>
          <w:sz w:val="22"/>
          <w:szCs w:val="22"/>
        </w:rPr>
      </w:pPr>
      <w:r>
        <w:rPr>
          <w:sz w:val="22"/>
          <w:szCs w:val="22"/>
        </w:rPr>
        <w:t xml:space="preserve">23.1.4.2. </w:t>
      </w:r>
      <w:r w:rsidR="00706CFA">
        <w:rPr>
          <w:sz w:val="22"/>
          <w:szCs w:val="22"/>
        </w:rPr>
        <w:t>российских и/или ин</w:t>
      </w:r>
      <w:r>
        <w:rPr>
          <w:sz w:val="22"/>
          <w:szCs w:val="22"/>
        </w:rPr>
        <w:t>остранных депозитарных расписок</w:t>
      </w:r>
      <w:r w:rsidR="004B7896">
        <w:rPr>
          <w:sz w:val="22"/>
          <w:szCs w:val="22"/>
        </w:rPr>
        <w:t>, удостоверяющих права</w:t>
      </w:r>
      <w:r>
        <w:rPr>
          <w:sz w:val="22"/>
          <w:szCs w:val="22"/>
        </w:rPr>
        <w:t xml:space="preserve"> на целевой актив</w:t>
      </w:r>
      <w:r w:rsidR="00706CFA">
        <w:rPr>
          <w:sz w:val="22"/>
          <w:szCs w:val="22"/>
        </w:rPr>
        <w:t>;</w:t>
      </w:r>
    </w:p>
    <w:p w14:paraId="1E7F6B6D" w14:textId="44A5E7BA" w:rsidR="00706CFA" w:rsidRDefault="008A3C96" w:rsidP="0060251D">
      <w:pPr>
        <w:autoSpaceDE w:val="0"/>
        <w:autoSpaceDN w:val="0"/>
        <w:adjustRightInd w:val="0"/>
        <w:ind w:firstLine="720"/>
        <w:jc w:val="both"/>
        <w:rPr>
          <w:sz w:val="22"/>
          <w:szCs w:val="22"/>
        </w:rPr>
      </w:pPr>
      <w:r>
        <w:rPr>
          <w:sz w:val="22"/>
          <w:szCs w:val="22"/>
        </w:rPr>
        <w:t xml:space="preserve">23.1.4.3. </w:t>
      </w:r>
      <w:r w:rsidR="00706CFA">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00706CFA">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00706CFA">
        <w:rPr>
          <w:sz w:val="22"/>
          <w:szCs w:val="22"/>
        </w:rPr>
        <w:t>);</w:t>
      </w:r>
    </w:p>
    <w:p w14:paraId="1948EE85" w14:textId="70E4CE0E" w:rsidR="00706CFA" w:rsidRPr="007241A7" w:rsidRDefault="0007393A" w:rsidP="0060251D">
      <w:pPr>
        <w:autoSpaceDE w:val="0"/>
        <w:autoSpaceDN w:val="0"/>
        <w:adjustRightInd w:val="0"/>
        <w:ind w:firstLine="539"/>
        <w:jc w:val="both"/>
        <w:rPr>
          <w:sz w:val="22"/>
          <w:szCs w:val="22"/>
        </w:rPr>
      </w:pPr>
      <w:r>
        <w:rPr>
          <w:sz w:val="22"/>
          <w:szCs w:val="22"/>
        </w:rPr>
        <w:t xml:space="preserve">    </w:t>
      </w:r>
      <w:r w:rsidR="008A3C96">
        <w:rPr>
          <w:sz w:val="22"/>
          <w:szCs w:val="22"/>
        </w:rPr>
        <w:t xml:space="preserve">23.1.4.4. </w:t>
      </w:r>
      <w:r w:rsidR="00530E46">
        <w:rPr>
          <w:sz w:val="22"/>
          <w:szCs w:val="22"/>
        </w:rPr>
        <w:t xml:space="preserve">инвестиционных </w:t>
      </w:r>
      <w:r w:rsidR="00A8514F">
        <w:rPr>
          <w:sz w:val="22"/>
          <w:szCs w:val="22"/>
        </w:rPr>
        <w:t>паев паевых инвестиционных фондов</w:t>
      </w:r>
      <w:r w:rsidR="00B50B67">
        <w:rPr>
          <w:sz w:val="22"/>
          <w:szCs w:val="22"/>
        </w:rPr>
        <w:t xml:space="preserve"> (ценных бумаг</w:t>
      </w:r>
      <w:r w:rsidR="00706CFA">
        <w:rPr>
          <w:sz w:val="22"/>
          <w:szCs w:val="22"/>
        </w:rPr>
        <w:t xml:space="preserve"> иностранных инвестиционных фондов</w:t>
      </w:r>
      <w:r w:rsidR="00B50B67">
        <w:rPr>
          <w:sz w:val="22"/>
          <w:szCs w:val="22"/>
        </w:rPr>
        <w:t>)</w:t>
      </w:r>
      <w:r w:rsidR="00706CFA">
        <w:rPr>
          <w:sz w:val="22"/>
          <w:szCs w:val="22"/>
        </w:rPr>
        <w:t>, инвестиционными декларациями которых предусмотрено следование их доходности ст</w:t>
      </w:r>
      <w:r w:rsidR="008A3C96">
        <w:rPr>
          <w:sz w:val="22"/>
          <w:szCs w:val="22"/>
        </w:rPr>
        <w:t xml:space="preserve">оимости активов, указанных в </w:t>
      </w:r>
      <w:r w:rsidR="00706CFA">
        <w:rPr>
          <w:sz w:val="22"/>
          <w:szCs w:val="22"/>
        </w:rPr>
        <w:t xml:space="preserve">пунктах </w:t>
      </w:r>
      <w:r w:rsidR="008A3C96">
        <w:rPr>
          <w:sz w:val="22"/>
          <w:szCs w:val="22"/>
        </w:rPr>
        <w:t>23.1.4.1.</w:t>
      </w:r>
      <w:r w:rsidR="0050411B">
        <w:rPr>
          <w:sz w:val="22"/>
          <w:szCs w:val="22"/>
        </w:rPr>
        <w:t xml:space="preserve"> </w:t>
      </w:r>
      <w:r w:rsidR="008A3C96">
        <w:rPr>
          <w:sz w:val="22"/>
          <w:szCs w:val="22"/>
        </w:rPr>
        <w:t xml:space="preserve">- </w:t>
      </w:r>
      <w:r w:rsidR="00706CFA">
        <w:rPr>
          <w:sz w:val="22"/>
          <w:szCs w:val="22"/>
        </w:rPr>
        <w:t>23.1</w:t>
      </w:r>
      <w:r w:rsidR="00B11DE8">
        <w:rPr>
          <w:sz w:val="22"/>
          <w:szCs w:val="22"/>
        </w:rPr>
        <w:t>.4</w:t>
      </w:r>
      <w:r w:rsidR="008A3C96">
        <w:rPr>
          <w:sz w:val="22"/>
          <w:szCs w:val="22"/>
        </w:rPr>
        <w:t>.3.</w:t>
      </w:r>
      <w:r w:rsidR="00706CFA">
        <w:rPr>
          <w:sz w:val="22"/>
          <w:szCs w:val="22"/>
        </w:rPr>
        <w:t xml:space="preserve"> настоящих Правил, или значению индикатора (индекса), рассчитываемого исходя из стоимости активов, указанны</w:t>
      </w:r>
      <w:r w:rsidR="008A3C96">
        <w:rPr>
          <w:sz w:val="22"/>
          <w:szCs w:val="22"/>
        </w:rPr>
        <w:t xml:space="preserve">х в </w:t>
      </w:r>
      <w:r w:rsidR="00B11DE8">
        <w:rPr>
          <w:sz w:val="22"/>
          <w:szCs w:val="22"/>
        </w:rPr>
        <w:t xml:space="preserve">пунктах </w:t>
      </w:r>
      <w:r w:rsidR="008A3C96">
        <w:rPr>
          <w:sz w:val="22"/>
          <w:szCs w:val="22"/>
        </w:rPr>
        <w:t>23.1.4.1.</w:t>
      </w:r>
      <w:r w:rsidR="00F82CF0">
        <w:rPr>
          <w:sz w:val="22"/>
          <w:szCs w:val="22"/>
        </w:rPr>
        <w:t xml:space="preserve"> </w:t>
      </w:r>
      <w:r w:rsidR="00B11DE8">
        <w:rPr>
          <w:sz w:val="22"/>
          <w:szCs w:val="22"/>
        </w:rPr>
        <w:t>-</w:t>
      </w:r>
      <w:r w:rsidR="00F82CF0">
        <w:rPr>
          <w:sz w:val="22"/>
          <w:szCs w:val="22"/>
        </w:rPr>
        <w:t xml:space="preserve"> </w:t>
      </w:r>
      <w:r w:rsidR="008A3C96">
        <w:rPr>
          <w:sz w:val="22"/>
          <w:szCs w:val="22"/>
        </w:rPr>
        <w:t>2</w:t>
      </w:r>
      <w:r w:rsidR="00B11DE8">
        <w:rPr>
          <w:sz w:val="22"/>
          <w:szCs w:val="22"/>
        </w:rPr>
        <w:t>3</w:t>
      </w:r>
      <w:r w:rsidR="008A3C96">
        <w:rPr>
          <w:sz w:val="22"/>
          <w:szCs w:val="22"/>
        </w:rPr>
        <w:t>.1.4.3.</w:t>
      </w:r>
      <w:r w:rsidR="00B11DE8">
        <w:rPr>
          <w:sz w:val="22"/>
          <w:szCs w:val="22"/>
        </w:rPr>
        <w:t xml:space="preserve"> </w:t>
      </w:r>
      <w:r w:rsidR="00706CFA">
        <w:rPr>
          <w:sz w:val="22"/>
          <w:szCs w:val="22"/>
        </w:rPr>
        <w:t xml:space="preserve">настоящих Правил. </w:t>
      </w:r>
    </w:p>
    <w:p w14:paraId="56FD5006" w14:textId="77777777" w:rsidR="00E864FF" w:rsidRPr="00EA26EC" w:rsidRDefault="00E864FF" w:rsidP="00E864FF">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EF3C946" w14:textId="77777777" w:rsidR="00E864FF" w:rsidRPr="006E08E3" w:rsidRDefault="00E864FF" w:rsidP="00E864FF">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78867939" w14:textId="1E1B4168" w:rsidR="00E864FF" w:rsidRPr="00F274C4" w:rsidRDefault="00E864FF" w:rsidP="00E864FF">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280B96">
        <w:rPr>
          <w:sz w:val="22"/>
          <w:szCs w:val="22"/>
        </w:rPr>
        <w:t>активы</w:t>
      </w:r>
      <w:r w:rsidR="006A1379">
        <w:rPr>
          <w:sz w:val="22"/>
          <w:szCs w:val="22"/>
        </w:rPr>
        <w:t>,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w:t>
      </w:r>
      <w:r w:rsidRPr="009C7828">
        <w:rPr>
          <w:rFonts w:eastAsia="Arial Unicode MS"/>
          <w:sz w:val="22"/>
          <w:szCs w:val="22"/>
        </w:rPr>
        <w:lastRenderedPageBreak/>
        <w:t>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lastRenderedPageBreak/>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C7828">
        <w:rPr>
          <w:rFonts w:eastAsia="Calibri"/>
          <w:sz w:val="22"/>
          <w:szCs w:val="22"/>
        </w:rPr>
        <w:t>репутационные</w:t>
      </w:r>
      <w:proofErr w:type="spellEnd"/>
      <w:r w:rsidRPr="009C782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6637A9F" w14:textId="6C25DCBC" w:rsidR="000E7A8E" w:rsidRPr="00971987" w:rsidRDefault="009C7828" w:rsidP="00280B96">
      <w:pPr>
        <w:pStyle w:val="afa"/>
        <w:widowControl w:val="0"/>
        <w:numPr>
          <w:ilvl w:val="0"/>
          <w:numId w:val="39"/>
        </w:numPr>
        <w:shd w:val="clear" w:color="auto" w:fill="FFFFFF"/>
        <w:tabs>
          <w:tab w:val="left" w:pos="349"/>
        </w:tabs>
        <w:adjustRightInd w:val="0"/>
        <w:ind w:left="0" w:firstLine="567"/>
        <w:jc w:val="both"/>
        <w:rPr>
          <w:sz w:val="22"/>
          <w:szCs w:val="22"/>
        </w:rPr>
      </w:pPr>
      <w:r w:rsidRPr="00971987">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098E0E91" w14:textId="47DCA2EF"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sidRPr="009C7828">
        <w:rPr>
          <w:sz w:val="22"/>
          <w:szCs w:val="22"/>
        </w:rPr>
        <w:t xml:space="preserve">К числу кредитных рисков, в том числе, относятся: </w:t>
      </w:r>
    </w:p>
    <w:p w14:paraId="29D193BD" w14:textId="67A09944"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 xml:space="preserve">риск дефолта по облигациям и иным долговым </w:t>
      </w:r>
      <w:r w:rsidR="009E02AC">
        <w:rPr>
          <w:sz w:val="22"/>
          <w:szCs w:val="22"/>
        </w:rPr>
        <w:t>финансовым инструментам</w:t>
      </w:r>
      <w:r w:rsidRPr="009C7828">
        <w:rPr>
          <w:sz w:val="22"/>
          <w:szCs w:val="22"/>
        </w:rPr>
        <w:t xml:space="preserve">, который заключается в возможной неплатежеспособности эмитента </w:t>
      </w:r>
      <w:r w:rsidR="003240C4">
        <w:rPr>
          <w:sz w:val="22"/>
          <w:szCs w:val="22"/>
        </w:rPr>
        <w:t>облигаций</w:t>
      </w:r>
      <w:r w:rsidRPr="009C7828">
        <w:rPr>
          <w:sz w:val="22"/>
          <w:szCs w:val="22"/>
        </w:rPr>
        <w:t xml:space="preserve"> и (или) лиц, предоставивших обеспечение по </w:t>
      </w:r>
      <w:r w:rsidR="003240C4">
        <w:rPr>
          <w:sz w:val="22"/>
          <w:szCs w:val="22"/>
        </w:rPr>
        <w:t>облигациям,</w:t>
      </w:r>
      <w:r w:rsidR="009E02AC">
        <w:rPr>
          <w:sz w:val="22"/>
          <w:szCs w:val="22"/>
        </w:rPr>
        <w:t xml:space="preserve"> и (или) лиц, являющихся обязанными по долговым финансовым инструментам</w:t>
      </w:r>
      <w:r w:rsidRPr="009C7828">
        <w:rPr>
          <w:sz w:val="22"/>
          <w:szCs w:val="22"/>
        </w:rPr>
        <w:t xml:space="preserve">, что приведет к невозможности или снижению вероятности погасить </w:t>
      </w:r>
      <w:r w:rsidR="003240C4">
        <w:rPr>
          <w:sz w:val="22"/>
          <w:szCs w:val="22"/>
        </w:rPr>
        <w:t>облигации</w:t>
      </w:r>
      <w:r w:rsidRPr="009C7828">
        <w:rPr>
          <w:sz w:val="22"/>
          <w:szCs w:val="22"/>
        </w:rPr>
        <w:t xml:space="preserve"> (произвести купонные выплаты по ним, исполнить обязательства по выкупу</w:t>
      </w:r>
      <w:r w:rsidR="003240C4">
        <w:rPr>
          <w:sz w:val="22"/>
          <w:szCs w:val="22"/>
        </w:rPr>
        <w:t xml:space="preserve"> облигаций</w:t>
      </w:r>
      <w:r w:rsidRPr="009C7828">
        <w:rPr>
          <w:sz w:val="22"/>
          <w:szCs w:val="22"/>
        </w:rPr>
        <w:t>, в том числе досрочному,</w:t>
      </w:r>
      <w:r w:rsidR="00225984">
        <w:rPr>
          <w:sz w:val="22"/>
          <w:szCs w:val="22"/>
        </w:rPr>
        <w:t xml:space="preserve"> произвести выплаты по долговым финансовым инструментам</w:t>
      </w:r>
      <w:r w:rsidRPr="009C7828">
        <w:rPr>
          <w:sz w:val="22"/>
          <w:szCs w:val="22"/>
        </w:rPr>
        <w:t>)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lastRenderedPageBreak/>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53BC6C5A" w:rsidR="009C7828" w:rsidRPr="009C7828" w:rsidRDefault="000E7A8E" w:rsidP="00F82CF0">
      <w:pPr>
        <w:ind w:firstLine="720"/>
        <w:jc w:val="both"/>
        <w:rPr>
          <w:rFonts w:eastAsia="Calibri"/>
          <w:sz w:val="22"/>
          <w:szCs w:val="22"/>
        </w:rPr>
      </w:pPr>
      <w:r>
        <w:rPr>
          <w:rFonts w:eastAsia="Calibri"/>
          <w:sz w:val="22"/>
          <w:szCs w:val="22"/>
        </w:rPr>
        <w:t xml:space="preserve">2) </w:t>
      </w:r>
      <w:r w:rsidR="009C7828"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C7828" w:rsidRPr="009C782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C7828" w:rsidRPr="009C7828">
        <w:rPr>
          <w:sz w:val="22"/>
          <w:szCs w:val="22"/>
          <w:lang w:eastAsia="ru-RU"/>
        </w:rPr>
        <w:t>колл</w:t>
      </w:r>
      <w:proofErr w:type="spellEnd"/>
      <w:r w:rsidR="009C7828" w:rsidRPr="009C7828">
        <w:rPr>
          <w:sz w:val="22"/>
          <w:szCs w:val="22"/>
          <w:lang w:eastAsia="ru-RU"/>
        </w:rPr>
        <w:t xml:space="preserve">»)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3F010F8C" w:rsidR="009C7828" w:rsidRPr="009C7828" w:rsidRDefault="000E7A8E" w:rsidP="00F82CF0">
      <w:pPr>
        <w:ind w:firstLine="720"/>
        <w:jc w:val="both"/>
        <w:rPr>
          <w:sz w:val="22"/>
          <w:szCs w:val="22"/>
        </w:rPr>
      </w:pPr>
      <w:r>
        <w:rPr>
          <w:sz w:val="22"/>
          <w:szCs w:val="22"/>
        </w:rPr>
        <w:t xml:space="preserve">3) </w:t>
      </w:r>
      <w:r w:rsidR="009C7828"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F9265D1" w14:textId="1D3E8D4F" w:rsidR="000E7A8E" w:rsidRPr="005711F8" w:rsidRDefault="000E7A8E" w:rsidP="0050411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F82CF0">
        <w:rPr>
          <w:sz w:val="22"/>
          <w:szCs w:val="22"/>
        </w:rPr>
        <w:t>,</w:t>
      </w:r>
      <w:r w:rsidRPr="005711F8">
        <w:rPr>
          <w:sz w:val="22"/>
          <w:szCs w:val="22"/>
        </w:rPr>
        <w:t xml:space="preserve"> по их мнению</w:t>
      </w:r>
      <w:r w:rsidR="00F82CF0">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9302564" w14:textId="64E52ADA" w:rsidR="005F0D79" w:rsidRDefault="005F0D79" w:rsidP="005F0D79">
      <w:pPr>
        <w:rPr>
          <w:sz w:val="22"/>
          <w:szCs w:val="22"/>
          <w:lang w:eastAsia="ru-RU"/>
        </w:rPr>
      </w:pPr>
    </w:p>
    <w:p w14:paraId="3401496E" w14:textId="4F8653F5" w:rsidR="0050411B" w:rsidRPr="00860B3A" w:rsidRDefault="00991B16" w:rsidP="0050411B">
      <w:pPr>
        <w:ind w:firstLine="567"/>
        <w:jc w:val="both"/>
        <w:rPr>
          <w:rFonts w:eastAsiaTheme="minorHAnsi"/>
          <w:color w:val="000000" w:themeColor="text1"/>
          <w:sz w:val="22"/>
          <w:szCs w:val="22"/>
        </w:rPr>
      </w:pPr>
      <w:r w:rsidRPr="0084290C">
        <w:rPr>
          <w:sz w:val="22"/>
          <w:szCs w:val="22"/>
        </w:rPr>
        <w:t xml:space="preserve">По оценке </w:t>
      </w:r>
      <w:r>
        <w:rPr>
          <w:sz w:val="22"/>
          <w:szCs w:val="22"/>
        </w:rPr>
        <w:t>у</w:t>
      </w:r>
      <w:r w:rsidRPr="005711F8">
        <w:rPr>
          <w:sz w:val="22"/>
          <w:szCs w:val="22"/>
        </w:rPr>
        <w:t>правляющей компании, реализация инвестиционной стратегии, предусмотрен</w:t>
      </w:r>
      <w:r w:rsidRPr="0084290C">
        <w:rPr>
          <w:sz w:val="22"/>
          <w:szCs w:val="22"/>
        </w:rPr>
        <w:t>ной инвестиционной декларацией ф</w:t>
      </w:r>
      <w:r w:rsidRPr="005711F8">
        <w:rPr>
          <w:sz w:val="22"/>
          <w:szCs w:val="22"/>
        </w:rPr>
        <w:t>онда, связана с высокой степенью влияния рисков, описание которых содержится в настоящем пункте Правил</w:t>
      </w:r>
      <w:r w:rsidR="00EB2749">
        <w:rPr>
          <w:sz w:val="22"/>
          <w:szCs w:val="22"/>
        </w:rPr>
        <w:t>, в случае их реализации</w:t>
      </w:r>
      <w:r w:rsidRPr="005711F8">
        <w:rPr>
          <w:sz w:val="22"/>
          <w:szCs w:val="22"/>
        </w:rPr>
        <w:t xml:space="preserve">. </w:t>
      </w:r>
      <w:r w:rsidRPr="00860B3A">
        <w:rPr>
          <w:color w:val="000000" w:themeColor="text1"/>
          <w:sz w:val="22"/>
          <w:szCs w:val="22"/>
        </w:rPr>
        <w:t>Менее значительное влияние на результаты инвестицион</w:t>
      </w:r>
      <w:r>
        <w:rPr>
          <w:color w:val="000000" w:themeColor="text1"/>
          <w:sz w:val="22"/>
          <w:szCs w:val="22"/>
        </w:rPr>
        <w:t>ной стратегии оказывают кредитный, процентный</w:t>
      </w:r>
      <w:r w:rsidRPr="00860B3A">
        <w:rPr>
          <w:color w:val="000000" w:themeColor="text1"/>
          <w:sz w:val="22"/>
          <w:szCs w:val="22"/>
        </w:rPr>
        <w:t xml:space="preserve"> риск и риск ликвидно</w:t>
      </w:r>
      <w:r w:rsidR="00324E61">
        <w:rPr>
          <w:color w:val="000000" w:themeColor="text1"/>
          <w:sz w:val="22"/>
          <w:szCs w:val="22"/>
        </w:rPr>
        <w:t>сти, наибольшее влияние оказываю</w:t>
      </w:r>
      <w:r w:rsidRPr="00860B3A">
        <w:rPr>
          <w:color w:val="000000" w:themeColor="text1"/>
          <w:sz w:val="22"/>
          <w:szCs w:val="22"/>
        </w:rPr>
        <w:t xml:space="preserve">т </w:t>
      </w:r>
      <w:r w:rsidR="00DE57AD">
        <w:rPr>
          <w:color w:val="000000" w:themeColor="text1"/>
          <w:sz w:val="22"/>
          <w:szCs w:val="22"/>
        </w:rPr>
        <w:t>валютный и рыночный</w:t>
      </w:r>
      <w:r w:rsidRPr="00860B3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высокий</w:t>
      </w:r>
      <w:r w:rsidRPr="00860B3A">
        <w:rPr>
          <w:color w:val="000000" w:themeColor="text1"/>
        </w:rPr>
        <w:t xml:space="preserve">. </w:t>
      </w:r>
      <w:r w:rsidR="0050411B"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1F5C3F92" w14:textId="77777777" w:rsidR="00991B16" w:rsidRDefault="00991B16" w:rsidP="00991B16">
      <w:pPr>
        <w:tabs>
          <w:tab w:val="left" w:pos="900"/>
          <w:tab w:val="left" w:pos="1260"/>
        </w:tabs>
        <w:ind w:firstLine="567"/>
        <w:jc w:val="both"/>
      </w:pPr>
    </w:p>
    <w:p w14:paraId="30FF8202" w14:textId="6436373F" w:rsidR="00991B16" w:rsidRPr="00860B3A" w:rsidRDefault="00991B16" w:rsidP="00991B16">
      <w:pPr>
        <w:ind w:firstLine="567"/>
        <w:jc w:val="both"/>
        <w:rPr>
          <w:rFonts w:eastAsiaTheme="minorHAnsi"/>
          <w:color w:val="000000" w:themeColor="text1"/>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 xml:space="preserve">правляющей компании и в силу этого не являются исчерпывающими.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находящегося в доверительном управлении управляющей компании (далее –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lastRenderedPageBreak/>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4F4C8AA0"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8366A4">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1F4F9352"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lastRenderedPageBreak/>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lastRenderedPageBreak/>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39C34BDC"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lastRenderedPageBreak/>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xml:space="preserve">-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w:t>
      </w:r>
      <w:r w:rsidRPr="00985D2F">
        <w:rPr>
          <w:sz w:val="22"/>
          <w:szCs w:val="22"/>
        </w:rPr>
        <w:lastRenderedPageBreak/>
        <w:t>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6A0CDA72"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5"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0A2532DD"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Pr="0009246B">
        <w:rPr>
          <w:sz w:val="22"/>
          <w:szCs w:val="22"/>
          <w:lang w:eastAsia="ru-RU"/>
        </w:rPr>
        <w:t xml:space="preserve">.4.2.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0525E775" w14:textId="32D14BAC" w:rsidR="005A1BE9" w:rsidRPr="005A1BE9" w:rsidRDefault="0009246B" w:rsidP="00F82CF0">
      <w:pPr>
        <w:autoSpaceDE w:val="0"/>
        <w:autoSpaceDN w:val="0"/>
        <w:adjustRightInd w:val="0"/>
        <w:ind w:firstLine="709"/>
        <w:jc w:val="both"/>
        <w:rPr>
          <w:sz w:val="22"/>
          <w:szCs w:val="22"/>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8453E24"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r w:rsidRPr="009C7828">
        <w:rPr>
          <w:sz w:val="22"/>
          <w:szCs w:val="22"/>
        </w:rPr>
        <w:t>.</w:t>
      </w:r>
    </w:p>
    <w:p w14:paraId="69408AB3" w14:textId="77777777" w:rsidR="007B2A26" w:rsidRPr="00F905EF" w:rsidRDefault="007B2A26" w:rsidP="007B2A26">
      <w:pPr>
        <w:spacing w:before="60" w:after="60"/>
        <w:jc w:val="both"/>
        <w:rPr>
          <w:sz w:val="22"/>
          <w:szCs w:val="22"/>
        </w:rPr>
      </w:pPr>
      <w:r>
        <w:rPr>
          <w:sz w:val="22"/>
          <w:szCs w:val="22"/>
        </w:rPr>
        <w:lastRenderedPageBreak/>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1ED2F823" w:rsidR="00471890" w:rsidRPr="00FA1749" w:rsidRDefault="00364C84" w:rsidP="00F82CF0">
      <w:pPr>
        <w:tabs>
          <w:tab w:val="left" w:pos="993"/>
        </w:tabs>
        <w:spacing w:before="60" w:after="60"/>
        <w:ind w:left="567"/>
        <w:jc w:val="both"/>
        <w:rPr>
          <w:sz w:val="22"/>
          <w:szCs w:val="22"/>
        </w:rPr>
      </w:pPr>
      <w:r>
        <w:rPr>
          <w:sz w:val="22"/>
          <w:szCs w:val="22"/>
        </w:rPr>
        <w:t xml:space="preserve">48.3. </w:t>
      </w:r>
      <w:r w:rsidR="004B484F" w:rsidRPr="00FA1749">
        <w:rPr>
          <w:sz w:val="22"/>
          <w:szCs w:val="22"/>
        </w:rPr>
        <w:t>приобретени</w:t>
      </w:r>
      <w:r w:rsidR="004E6306">
        <w:rPr>
          <w:sz w:val="22"/>
          <w:szCs w:val="22"/>
        </w:rPr>
        <w:t>я</w:t>
      </w:r>
      <w:r w:rsidR="004B484F"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E6306">
        <w:rPr>
          <w:sz w:val="22"/>
          <w:szCs w:val="22"/>
        </w:rPr>
        <w:t xml:space="preserve"> </w:t>
      </w:r>
      <w:r w:rsidR="004E6306" w:rsidRPr="00946969">
        <w:rPr>
          <w:sz w:val="22"/>
          <w:szCs w:val="22"/>
        </w:rPr>
        <w:t>либо не может приобретать и</w:t>
      </w:r>
      <w:r w:rsidR="004E6306">
        <w:rPr>
          <w:sz w:val="22"/>
          <w:szCs w:val="22"/>
        </w:rPr>
        <w:t>нвестиционные паи при их выдаче</w:t>
      </w:r>
      <w:r w:rsidR="004B484F" w:rsidRPr="00FA1749">
        <w:rPr>
          <w:sz w:val="22"/>
          <w:szCs w:val="22"/>
        </w:rPr>
        <w:t>;</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lastRenderedPageBreak/>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475BB9E" w14:textId="2BFCB36E"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 xml:space="preserve">и (или) иными сведениями, позволяющими </w:t>
      </w:r>
      <w:r w:rsidR="00326AE3" w:rsidRPr="00E0162A">
        <w:rPr>
          <w:sz w:val="22"/>
          <w:szCs w:val="22"/>
        </w:rPr>
        <w:lastRenderedPageBreak/>
        <w:t>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предусмотренном абзацами 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lastRenderedPageBreak/>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21B9D3A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87D4E65"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5B70437E" w:rsidR="00A02E4E" w:rsidRPr="00FA1749" w:rsidRDefault="00151210">
      <w:pPr>
        <w:spacing w:before="60" w:after="60"/>
        <w:jc w:val="both"/>
        <w:rPr>
          <w:sz w:val="22"/>
          <w:szCs w:val="22"/>
        </w:rPr>
      </w:pPr>
      <w:r w:rsidRPr="00FA1749">
        <w:rPr>
          <w:sz w:val="22"/>
          <w:szCs w:val="22"/>
        </w:rPr>
        <w:t>6</w:t>
      </w:r>
      <w:r w:rsidR="00F1332F">
        <w:rPr>
          <w:sz w:val="22"/>
          <w:szCs w:val="22"/>
        </w:rPr>
        <w:t>4</w:t>
      </w:r>
      <w:r w:rsidR="00A02E4E" w:rsidRPr="00FA1749">
        <w:rPr>
          <w:sz w:val="22"/>
          <w:szCs w:val="22"/>
        </w:rPr>
        <w:t xml:space="preserve">. Погашение инвестиционных паев осуществляется </w:t>
      </w:r>
      <w:r w:rsidR="002A06B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A1749">
        <w:rPr>
          <w:sz w:val="22"/>
          <w:szCs w:val="22"/>
        </w:rPr>
        <w:t>.</w:t>
      </w:r>
    </w:p>
    <w:p w14:paraId="34794276" w14:textId="7CDA2C62" w:rsidR="0053022F" w:rsidRPr="00FA1749" w:rsidRDefault="00151210">
      <w:pPr>
        <w:spacing w:before="60" w:after="60"/>
        <w:jc w:val="both"/>
        <w:rPr>
          <w:sz w:val="22"/>
          <w:szCs w:val="22"/>
        </w:rPr>
      </w:pPr>
      <w:r w:rsidRPr="00FA1749">
        <w:rPr>
          <w:sz w:val="22"/>
          <w:szCs w:val="22"/>
        </w:rPr>
        <w:t>6</w:t>
      </w:r>
      <w:r w:rsidR="00F1332F">
        <w:rPr>
          <w:sz w:val="22"/>
          <w:szCs w:val="22"/>
        </w:rPr>
        <w:t>5</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lastRenderedPageBreak/>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w:t>
      </w:r>
      <w:r w:rsidR="00B24699" w:rsidRPr="00046A3B">
        <w:rPr>
          <w:sz w:val="22"/>
          <w:szCs w:val="22"/>
        </w:rPr>
        <w:lastRenderedPageBreak/>
        <w:t>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8"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F8C5DAE"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9"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46F2C629"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Pr="0009246B">
        <w:rPr>
          <w:sz w:val="22"/>
          <w:szCs w:val="22"/>
          <w:lang w:eastAsia="ru-RU"/>
        </w:rPr>
        <w:t xml:space="preserve">.1.2.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согласно расписанию работы управляющей компании и расписанию работы пунктов приема 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545FDDDD" w:rsidR="004B484F"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7C6262F3" w14:textId="1724AB9C"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1"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lastRenderedPageBreak/>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2"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0D8637EF" w:rsidR="00F77AA5" w:rsidRPr="00E0162A"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711C7B8D" w:rsidR="00F77AA5" w:rsidRPr="00177E74"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188ABA68"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w:t>
      </w:r>
      <w:r w:rsidRPr="00E57704">
        <w:rPr>
          <w:sz w:val="22"/>
          <w:szCs w:val="22"/>
        </w:rPr>
        <w:lastRenderedPageBreak/>
        <w:t xml:space="preserve">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77777777"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lastRenderedPageBreak/>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3"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w:t>
      </w:r>
      <w:r>
        <w:rPr>
          <w:sz w:val="22"/>
          <w:szCs w:val="22"/>
          <w:lang w:eastAsia="ru-RU"/>
        </w:rPr>
        <w:lastRenderedPageBreak/>
        <w:t xml:space="preserve">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4"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Фонд сбалансированный глобальный»</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 xml:space="preserve">.1.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w:t>
      </w:r>
      <w:r w:rsidR="000A6173" w:rsidRPr="00FA1749">
        <w:lastRenderedPageBreak/>
        <w:t>№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1DF4E938" w:rsidR="008108AE" w:rsidRPr="008108AE" w:rsidRDefault="0009246B" w:rsidP="008108AE">
      <w:pPr>
        <w:adjustRightInd w:val="0"/>
        <w:ind w:firstLine="709"/>
        <w:jc w:val="both"/>
        <w:rPr>
          <w:sz w:val="22"/>
          <w:szCs w:val="22"/>
          <w:lang w:eastAsia="ru-RU"/>
        </w:rPr>
      </w:pPr>
      <w:r w:rsidRPr="0009246B">
        <w:rPr>
          <w:sz w:val="22"/>
          <w:szCs w:val="22"/>
        </w:rPr>
        <w:lastRenderedPageBreak/>
        <w:t>9</w:t>
      </w:r>
      <w:r w:rsidR="00C17900">
        <w:rPr>
          <w:sz w:val="22"/>
          <w:szCs w:val="22"/>
        </w:rPr>
        <w:t>0</w:t>
      </w:r>
      <w:r w:rsidRPr="0009246B">
        <w:rPr>
          <w:sz w:val="22"/>
          <w:szCs w:val="22"/>
        </w:rPr>
        <w:t xml:space="preserve">.4.1.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5"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57A3D5EB"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Pr="0009246B">
        <w:rPr>
          <w:sz w:val="22"/>
          <w:szCs w:val="22"/>
        </w:rPr>
        <w:t xml:space="preserve">.4.2.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6"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47B19779" w:rsidR="004B484F"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7"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lastRenderedPageBreak/>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w:t>
      </w:r>
      <w:r w:rsidR="00555271" w:rsidRPr="00FA1749">
        <w:rPr>
          <w:sz w:val="22"/>
          <w:szCs w:val="22"/>
        </w:rPr>
        <w:lastRenderedPageBreak/>
        <w:t xml:space="preserve">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lastRenderedPageBreak/>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466B0C3D"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 xml:space="preserve">равляющей компании в размере </w:t>
      </w:r>
      <w:r w:rsidR="00471D85">
        <w:rPr>
          <w:rFonts w:ascii="Times New Roman" w:hAnsi="Times New Roman" w:cs="Times New Roman"/>
          <w:kern w:val="0"/>
          <w:sz w:val="22"/>
          <w:szCs w:val="22"/>
        </w:rPr>
        <w:t xml:space="preserve">не более </w:t>
      </w:r>
      <w:r w:rsidR="00B34AFA">
        <w:rPr>
          <w:rFonts w:ascii="Times New Roman" w:hAnsi="Times New Roman" w:cs="Times New Roman"/>
          <w:kern w:val="0"/>
          <w:sz w:val="22"/>
          <w:szCs w:val="22"/>
        </w:rPr>
        <w:t>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0BD243FD"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х вознаграждений составляет</w:t>
      </w:r>
      <w:r w:rsidR="00471D85">
        <w:rPr>
          <w:rFonts w:asciiTheme="minorHAnsi" w:hAnsiTheme="minorHAnsi"/>
          <w:sz w:val="22"/>
          <w:szCs w:val="22"/>
        </w:rPr>
        <w:t xml:space="preserve"> </w:t>
      </w:r>
      <w:r w:rsidR="00471D85" w:rsidRPr="00471D85">
        <w:rPr>
          <w:rFonts w:ascii="Times New Roman" w:hAnsi="Times New Roman" w:cs="Times New Roman"/>
          <w:sz w:val="22"/>
          <w:szCs w:val="22"/>
        </w:rPr>
        <w:t>не более</w:t>
      </w:r>
      <w:r w:rsidRPr="0003420D">
        <w:rPr>
          <w:sz w:val="22"/>
          <w:szCs w:val="22"/>
        </w:rPr>
        <w:t xml:space="preserve">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00727C86">
        <w:rPr>
          <w:rFonts w:ascii="Times New Roman" w:hAnsi="Times New Roman" w:cs="Times New Roman"/>
          <w:sz w:val="22"/>
          <w:szCs w:val="22"/>
        </w:rPr>
        <w:t>х</w:t>
      </w:r>
      <w:r w:rsidRPr="00E0162A">
        <w:rPr>
          <w:rFonts w:ascii="Times New Roman" w:hAnsi="Times New Roman" w:cs="Times New Roman"/>
          <w:sz w:val="22"/>
          <w:szCs w:val="22"/>
        </w:rPr>
        <w:t xml:space="preserve"> целых </w:t>
      </w:r>
      <w:r w:rsidR="00727C86">
        <w:rPr>
          <w:rFonts w:ascii="Times New Roman" w:hAnsi="Times New Roman" w:cs="Times New Roman"/>
          <w:sz w:val="22"/>
          <w:szCs w:val="22"/>
        </w:rPr>
        <w:t>одной</w:t>
      </w:r>
      <w:r w:rsidRPr="00E0162A">
        <w:rPr>
          <w:rFonts w:ascii="Times New Roman" w:hAnsi="Times New Roman" w:cs="Times New Roman"/>
          <w:sz w:val="22"/>
          <w:szCs w:val="22"/>
        </w:rPr>
        <w:t xml:space="preserve"> </w:t>
      </w:r>
      <w:r w:rsidR="00727C86">
        <w:rPr>
          <w:rFonts w:ascii="Times New Roman" w:hAnsi="Times New Roman" w:cs="Times New Roman"/>
          <w:sz w:val="22"/>
          <w:szCs w:val="22"/>
        </w:rPr>
        <w:t>десятой</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 xml:space="preserve">онда, в том числе суммы судебных издержек и государственной пошлины, уплачиваемые управляющей компанией, за </w:t>
      </w:r>
      <w:r w:rsidR="00FE7423" w:rsidRPr="00FA1749">
        <w:rPr>
          <w:sz w:val="22"/>
          <w:szCs w:val="22"/>
        </w:rPr>
        <w:lastRenderedPageBreak/>
        <w:t>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lastRenderedPageBreak/>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28"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lastRenderedPageBreak/>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lastRenderedPageBreak/>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1D88846D" w14:textId="06357A37" w:rsidR="003C2483" w:rsidRDefault="003C2483" w:rsidP="00393FB7"/>
    <w:p w14:paraId="4C9E5297" w14:textId="41E2BA43" w:rsidR="009872BE" w:rsidRDefault="009872BE" w:rsidP="00393FB7"/>
    <w:p w14:paraId="3210841E" w14:textId="77777777" w:rsidR="009872BE" w:rsidRPr="00393FB7" w:rsidRDefault="009872BE" w:rsidP="00393FB7"/>
    <w:p w14:paraId="42B4AAE3" w14:textId="2BCD74D5" w:rsidR="00BC61F4" w:rsidRDefault="00D91D2E" w:rsidP="00A818B0">
      <w:pPr>
        <w:pStyle w:val="H4"/>
        <w:spacing w:before="60" w:after="60"/>
        <w:jc w:val="center"/>
      </w:pPr>
      <w:r w:rsidRPr="00FA1749">
        <w:lastRenderedPageBreak/>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1942850D" w:rsidR="001334C5" w:rsidRPr="001334C5" w:rsidRDefault="005E2B2A" w:rsidP="001334C5">
      <w:pPr>
        <w:autoSpaceDE w:val="0"/>
        <w:autoSpaceDN w:val="0"/>
        <w:spacing w:line="280" w:lineRule="exact"/>
        <w:jc w:val="both"/>
        <w:rPr>
          <w:sz w:val="22"/>
          <w:szCs w:val="22"/>
          <w:lang w:eastAsia="ru-RU"/>
        </w:rPr>
      </w:pPr>
      <w:r>
        <w:rPr>
          <w:sz w:val="22"/>
          <w:szCs w:val="22"/>
          <w:lang w:eastAsia="ru-RU"/>
        </w:rPr>
        <w:t xml:space="preserve">И. о. </w:t>
      </w:r>
      <w:r w:rsidR="00381ABC">
        <w:rPr>
          <w:sz w:val="22"/>
          <w:szCs w:val="22"/>
          <w:lang w:eastAsia="ru-RU"/>
        </w:rPr>
        <w:t>Генеральн</w:t>
      </w:r>
      <w:r>
        <w:rPr>
          <w:sz w:val="22"/>
          <w:szCs w:val="22"/>
          <w:lang w:eastAsia="ru-RU"/>
        </w:rPr>
        <w:t>ого</w:t>
      </w:r>
      <w:r w:rsidR="001334C5" w:rsidRPr="001334C5">
        <w:rPr>
          <w:sz w:val="22"/>
          <w:szCs w:val="22"/>
          <w:lang w:eastAsia="ru-RU"/>
        </w:rPr>
        <w:t xml:space="preserve"> директор</w:t>
      </w:r>
      <w:r>
        <w:rPr>
          <w:sz w:val="22"/>
          <w:szCs w:val="22"/>
          <w:lang w:eastAsia="ru-RU"/>
        </w:rPr>
        <w:t>а</w:t>
      </w:r>
    </w:p>
    <w:p w14:paraId="679B27B0" w14:textId="2BA2A8F8"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w:t>
      </w:r>
      <w:proofErr w:type="gramStart"/>
      <w:r w:rsidRPr="001334C5">
        <w:rPr>
          <w:sz w:val="22"/>
          <w:szCs w:val="22"/>
        </w:rPr>
        <w:t xml:space="preserve">АО)   </w:t>
      </w:r>
      <w:proofErr w:type="gramEnd"/>
      <w:r w:rsidRPr="001334C5">
        <w:rPr>
          <w:sz w:val="22"/>
          <w:szCs w:val="22"/>
        </w:rPr>
        <w:t xml:space="preserve">                                             </w:t>
      </w:r>
      <w:r w:rsidRPr="001334C5">
        <w:rPr>
          <w:sz w:val="22"/>
          <w:szCs w:val="22"/>
        </w:rPr>
        <w:tab/>
      </w:r>
      <w:r w:rsidRPr="001334C5">
        <w:rPr>
          <w:sz w:val="22"/>
          <w:szCs w:val="22"/>
        </w:rPr>
        <w:tab/>
      </w:r>
      <w:r w:rsidR="005E2B2A">
        <w:rPr>
          <w:sz w:val="22"/>
          <w:szCs w:val="22"/>
        </w:rPr>
        <w:t>А.А. Коровкин</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lastRenderedPageBreak/>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lastRenderedPageBreak/>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 xml:space="preserve">  Дата:___________________________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lastRenderedPageBreak/>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lastRenderedPageBreak/>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lastRenderedPageBreak/>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r>
      <w:r w:rsidRPr="00FA1749">
        <w:rPr>
          <w:rFonts w:ascii="Arial" w:hAnsi="Arial" w:cs="Arial"/>
          <w:sz w:val="9"/>
          <w:szCs w:val="9"/>
        </w:rPr>
        <w:lastRenderedPageBreak/>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9"/>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826059" w:rsidRDefault="00826059">
      <w:r>
        <w:separator/>
      </w:r>
    </w:p>
  </w:endnote>
  <w:endnote w:type="continuationSeparator" w:id="0">
    <w:p w14:paraId="441F7A54" w14:textId="77777777" w:rsidR="00826059" w:rsidRDefault="008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63E883B5" w:rsidR="00826059" w:rsidRDefault="00826059">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66C41">
      <w:rPr>
        <w:rStyle w:val="af0"/>
        <w:noProof/>
      </w:rPr>
      <w:t>21</w:t>
    </w:r>
    <w:r>
      <w:rPr>
        <w:rStyle w:val="af0"/>
      </w:rPr>
      <w:fldChar w:fldCharType="end"/>
    </w:r>
  </w:p>
  <w:p w14:paraId="135901AE" w14:textId="77777777" w:rsidR="00826059" w:rsidRDefault="00826059"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826059" w:rsidRDefault="00826059">
      <w:r>
        <w:separator/>
      </w:r>
    </w:p>
  </w:footnote>
  <w:footnote w:type="continuationSeparator" w:id="0">
    <w:p w14:paraId="7FF68C93" w14:textId="77777777" w:rsidR="00826059" w:rsidRDefault="00826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7"/>
  </w:num>
  <w:num w:numId="15">
    <w:abstractNumId w:val="11"/>
  </w:num>
  <w:num w:numId="16">
    <w:abstractNumId w:val="10"/>
  </w:num>
  <w:num w:numId="17">
    <w:abstractNumId w:val="7"/>
  </w:num>
  <w:num w:numId="18">
    <w:abstractNumId w:val="19"/>
  </w:num>
  <w:num w:numId="19">
    <w:abstractNumId w:val="25"/>
  </w:num>
  <w:num w:numId="20">
    <w:abstractNumId w:val="1"/>
  </w:num>
  <w:num w:numId="21">
    <w:abstractNumId w:val="5"/>
  </w:num>
  <w:num w:numId="22">
    <w:abstractNumId w:val="20"/>
  </w:num>
  <w:num w:numId="23">
    <w:abstractNumId w:val="14"/>
  </w:num>
  <w:num w:numId="24">
    <w:abstractNumId w:val="2"/>
  </w:num>
  <w:num w:numId="25">
    <w:abstractNumId w:val="16"/>
  </w:num>
  <w:num w:numId="26">
    <w:abstractNumId w:val="24"/>
  </w:num>
  <w:num w:numId="27">
    <w:abstractNumId w:val="26"/>
  </w:num>
  <w:num w:numId="28">
    <w:abstractNumId w:val="22"/>
  </w:num>
  <w:num w:numId="29">
    <w:abstractNumId w:val="15"/>
  </w:num>
  <w:num w:numId="30">
    <w:abstractNumId w:val="13"/>
  </w:num>
  <w:num w:numId="31">
    <w:abstractNumId w:val="18"/>
  </w:num>
  <w:num w:numId="32">
    <w:abstractNumId w:val="12"/>
  </w:num>
  <w:num w:numId="33">
    <w:abstractNumId w:val="27"/>
  </w:num>
  <w:num w:numId="34">
    <w:abstractNumId w:val="8"/>
  </w:num>
  <w:num w:numId="35">
    <w:abstractNumId w:val="9"/>
  </w:num>
  <w:num w:numId="36">
    <w:abstractNumId w:val="3"/>
  </w:num>
  <w:num w:numId="37">
    <w:abstractNumId w:val="6"/>
  </w:num>
  <w:num w:numId="38">
    <w:abstractNumId w:val="21"/>
  </w:num>
  <w:num w:numId="39">
    <w:abstractNumId w:val="23"/>
  </w:num>
  <w:num w:numId="4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51BDA"/>
    <w:rsid w:val="0005282D"/>
    <w:rsid w:val="000543DA"/>
    <w:rsid w:val="00054711"/>
    <w:rsid w:val="000550EF"/>
    <w:rsid w:val="00056994"/>
    <w:rsid w:val="00060C48"/>
    <w:rsid w:val="00061821"/>
    <w:rsid w:val="00062241"/>
    <w:rsid w:val="00062930"/>
    <w:rsid w:val="00063D18"/>
    <w:rsid w:val="000668E6"/>
    <w:rsid w:val="00071504"/>
    <w:rsid w:val="000719AC"/>
    <w:rsid w:val="00072D4A"/>
    <w:rsid w:val="0007393A"/>
    <w:rsid w:val="00083225"/>
    <w:rsid w:val="000840FD"/>
    <w:rsid w:val="0008476B"/>
    <w:rsid w:val="00084AFE"/>
    <w:rsid w:val="00086E2B"/>
    <w:rsid w:val="000875D8"/>
    <w:rsid w:val="00087FC8"/>
    <w:rsid w:val="00090E7E"/>
    <w:rsid w:val="00090EFF"/>
    <w:rsid w:val="0009246B"/>
    <w:rsid w:val="000962BA"/>
    <w:rsid w:val="00096E20"/>
    <w:rsid w:val="000A08B5"/>
    <w:rsid w:val="000A0979"/>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923"/>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FDA"/>
    <w:rsid w:val="001D044E"/>
    <w:rsid w:val="001E26E4"/>
    <w:rsid w:val="001E4B0B"/>
    <w:rsid w:val="001E53C6"/>
    <w:rsid w:val="001E646F"/>
    <w:rsid w:val="001E6D29"/>
    <w:rsid w:val="001E71A1"/>
    <w:rsid w:val="001E78E0"/>
    <w:rsid w:val="001E7BFA"/>
    <w:rsid w:val="001F0253"/>
    <w:rsid w:val="001F1F99"/>
    <w:rsid w:val="001F2678"/>
    <w:rsid w:val="001F3037"/>
    <w:rsid w:val="001F3858"/>
    <w:rsid w:val="00200034"/>
    <w:rsid w:val="00200882"/>
    <w:rsid w:val="002025A0"/>
    <w:rsid w:val="0020297C"/>
    <w:rsid w:val="00202A1B"/>
    <w:rsid w:val="0020433F"/>
    <w:rsid w:val="00204CCE"/>
    <w:rsid w:val="00206C37"/>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2031"/>
    <w:rsid w:val="00252301"/>
    <w:rsid w:val="002532D6"/>
    <w:rsid w:val="00263B98"/>
    <w:rsid w:val="00263C67"/>
    <w:rsid w:val="002677B4"/>
    <w:rsid w:val="0027006F"/>
    <w:rsid w:val="0027034B"/>
    <w:rsid w:val="00272A3D"/>
    <w:rsid w:val="00272D46"/>
    <w:rsid w:val="00274484"/>
    <w:rsid w:val="00274A54"/>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E14C2"/>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5922"/>
    <w:rsid w:val="003461EB"/>
    <w:rsid w:val="00347877"/>
    <w:rsid w:val="003479FE"/>
    <w:rsid w:val="0035079A"/>
    <w:rsid w:val="0035166F"/>
    <w:rsid w:val="0035269E"/>
    <w:rsid w:val="003539BF"/>
    <w:rsid w:val="00353DF0"/>
    <w:rsid w:val="00354144"/>
    <w:rsid w:val="003556A7"/>
    <w:rsid w:val="00355C86"/>
    <w:rsid w:val="00356273"/>
    <w:rsid w:val="003574B6"/>
    <w:rsid w:val="003601B7"/>
    <w:rsid w:val="00361699"/>
    <w:rsid w:val="003630B8"/>
    <w:rsid w:val="00364C84"/>
    <w:rsid w:val="003663FD"/>
    <w:rsid w:val="00366C41"/>
    <w:rsid w:val="003700E2"/>
    <w:rsid w:val="003708F9"/>
    <w:rsid w:val="00372B06"/>
    <w:rsid w:val="00372CC6"/>
    <w:rsid w:val="00376469"/>
    <w:rsid w:val="003774A5"/>
    <w:rsid w:val="00377550"/>
    <w:rsid w:val="00377812"/>
    <w:rsid w:val="00377BAB"/>
    <w:rsid w:val="003817A9"/>
    <w:rsid w:val="00381ABC"/>
    <w:rsid w:val="00383B4D"/>
    <w:rsid w:val="003848A5"/>
    <w:rsid w:val="003851CF"/>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E1984"/>
    <w:rsid w:val="003E2650"/>
    <w:rsid w:val="003E3A34"/>
    <w:rsid w:val="003E6D85"/>
    <w:rsid w:val="003E6F4D"/>
    <w:rsid w:val="003E726C"/>
    <w:rsid w:val="003F19FF"/>
    <w:rsid w:val="003F2825"/>
    <w:rsid w:val="003F3043"/>
    <w:rsid w:val="003F318B"/>
    <w:rsid w:val="003F50B6"/>
    <w:rsid w:val="003F6B66"/>
    <w:rsid w:val="003F7B6D"/>
    <w:rsid w:val="00404100"/>
    <w:rsid w:val="004051EF"/>
    <w:rsid w:val="004053DD"/>
    <w:rsid w:val="00407BC8"/>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679E5"/>
    <w:rsid w:val="004700EF"/>
    <w:rsid w:val="00471053"/>
    <w:rsid w:val="00471523"/>
    <w:rsid w:val="00471834"/>
    <w:rsid w:val="00471890"/>
    <w:rsid w:val="00471D85"/>
    <w:rsid w:val="0047231E"/>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2B2A"/>
    <w:rsid w:val="005E730D"/>
    <w:rsid w:val="005F0D79"/>
    <w:rsid w:val="005F1906"/>
    <w:rsid w:val="005F1DB4"/>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A1F"/>
    <w:rsid w:val="007129AA"/>
    <w:rsid w:val="00712E93"/>
    <w:rsid w:val="00714357"/>
    <w:rsid w:val="00714867"/>
    <w:rsid w:val="0071619D"/>
    <w:rsid w:val="0071649E"/>
    <w:rsid w:val="00717E82"/>
    <w:rsid w:val="00723607"/>
    <w:rsid w:val="00723E0C"/>
    <w:rsid w:val="007247EB"/>
    <w:rsid w:val="00724A5B"/>
    <w:rsid w:val="00725374"/>
    <w:rsid w:val="007254AA"/>
    <w:rsid w:val="00725AD7"/>
    <w:rsid w:val="00727146"/>
    <w:rsid w:val="00727C86"/>
    <w:rsid w:val="00727F8B"/>
    <w:rsid w:val="0073003E"/>
    <w:rsid w:val="00731970"/>
    <w:rsid w:val="00733A2C"/>
    <w:rsid w:val="0073432A"/>
    <w:rsid w:val="00734F08"/>
    <w:rsid w:val="0073620D"/>
    <w:rsid w:val="00736EC3"/>
    <w:rsid w:val="00737C81"/>
    <w:rsid w:val="00737EDC"/>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6059"/>
    <w:rsid w:val="00827BD5"/>
    <w:rsid w:val="00827C06"/>
    <w:rsid w:val="008310A8"/>
    <w:rsid w:val="008318F1"/>
    <w:rsid w:val="008324B7"/>
    <w:rsid w:val="0083250F"/>
    <w:rsid w:val="00833B63"/>
    <w:rsid w:val="00833B64"/>
    <w:rsid w:val="00833C00"/>
    <w:rsid w:val="0083457B"/>
    <w:rsid w:val="00835821"/>
    <w:rsid w:val="008366A4"/>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BD3"/>
    <w:rsid w:val="00856EFA"/>
    <w:rsid w:val="00861274"/>
    <w:rsid w:val="00862368"/>
    <w:rsid w:val="00864C6B"/>
    <w:rsid w:val="00865BE0"/>
    <w:rsid w:val="00865FE2"/>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4C04"/>
    <w:rsid w:val="0089643B"/>
    <w:rsid w:val="0089739D"/>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7CA0"/>
    <w:rsid w:val="008D7DC1"/>
    <w:rsid w:val="008E2BF5"/>
    <w:rsid w:val="008E30CF"/>
    <w:rsid w:val="008E4E21"/>
    <w:rsid w:val="008E5305"/>
    <w:rsid w:val="008E57D5"/>
    <w:rsid w:val="008E582F"/>
    <w:rsid w:val="008E6FE6"/>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5B61"/>
    <w:rsid w:val="009A60B2"/>
    <w:rsid w:val="009B11CA"/>
    <w:rsid w:val="009B13BD"/>
    <w:rsid w:val="009B1B72"/>
    <w:rsid w:val="009B3612"/>
    <w:rsid w:val="009B38CA"/>
    <w:rsid w:val="009B5F32"/>
    <w:rsid w:val="009B7219"/>
    <w:rsid w:val="009B7D77"/>
    <w:rsid w:val="009C06ED"/>
    <w:rsid w:val="009C2D41"/>
    <w:rsid w:val="009C3399"/>
    <w:rsid w:val="009C6AB4"/>
    <w:rsid w:val="009C77E5"/>
    <w:rsid w:val="009C7828"/>
    <w:rsid w:val="009D1D74"/>
    <w:rsid w:val="009D207C"/>
    <w:rsid w:val="009D289D"/>
    <w:rsid w:val="009D34BA"/>
    <w:rsid w:val="009D35E3"/>
    <w:rsid w:val="009D37D8"/>
    <w:rsid w:val="009D3E47"/>
    <w:rsid w:val="009D3FC5"/>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4B3"/>
    <w:rsid w:val="00A87590"/>
    <w:rsid w:val="00A87812"/>
    <w:rsid w:val="00A87EFE"/>
    <w:rsid w:val="00A92936"/>
    <w:rsid w:val="00A92B3F"/>
    <w:rsid w:val="00A92FD2"/>
    <w:rsid w:val="00A934C5"/>
    <w:rsid w:val="00A94840"/>
    <w:rsid w:val="00A953B7"/>
    <w:rsid w:val="00A954E9"/>
    <w:rsid w:val="00A97DC9"/>
    <w:rsid w:val="00AA10C7"/>
    <w:rsid w:val="00AA1270"/>
    <w:rsid w:val="00AA2891"/>
    <w:rsid w:val="00AA4758"/>
    <w:rsid w:val="00AA60E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AFA"/>
    <w:rsid w:val="00B353E7"/>
    <w:rsid w:val="00B3561A"/>
    <w:rsid w:val="00B3749F"/>
    <w:rsid w:val="00B415F6"/>
    <w:rsid w:val="00B4395A"/>
    <w:rsid w:val="00B45819"/>
    <w:rsid w:val="00B458EB"/>
    <w:rsid w:val="00B459E2"/>
    <w:rsid w:val="00B47E76"/>
    <w:rsid w:val="00B50B67"/>
    <w:rsid w:val="00B521AF"/>
    <w:rsid w:val="00B5396A"/>
    <w:rsid w:val="00B53F02"/>
    <w:rsid w:val="00B541F1"/>
    <w:rsid w:val="00B559D1"/>
    <w:rsid w:val="00B56D23"/>
    <w:rsid w:val="00B60438"/>
    <w:rsid w:val="00B60CAE"/>
    <w:rsid w:val="00B61166"/>
    <w:rsid w:val="00B61E9C"/>
    <w:rsid w:val="00B62A53"/>
    <w:rsid w:val="00B62D2D"/>
    <w:rsid w:val="00B63372"/>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3A03"/>
    <w:rsid w:val="00CE5873"/>
    <w:rsid w:val="00CF0B58"/>
    <w:rsid w:val="00CF1F16"/>
    <w:rsid w:val="00CF2AB2"/>
    <w:rsid w:val="00CF4129"/>
    <w:rsid w:val="00CF56A9"/>
    <w:rsid w:val="00D004A8"/>
    <w:rsid w:val="00D03A6D"/>
    <w:rsid w:val="00D07040"/>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46A1"/>
    <w:rsid w:val="00E6698B"/>
    <w:rsid w:val="00E66D5A"/>
    <w:rsid w:val="00E71F76"/>
    <w:rsid w:val="00E732C4"/>
    <w:rsid w:val="00E744AD"/>
    <w:rsid w:val="00E7519C"/>
    <w:rsid w:val="00E76016"/>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consultantplus://offline/ref=EFE7E32C903F6396A8DFC89961B53579EE1E1B3811FA929CA8F622CF7F474738CC36B0B0706CFCE6D8ID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D945A393C98C49C49F5EAA031438F09566D3A55ADB3128316961650A460E2E1FDB3C3E88FC3647ACCIAN" TargetMode="External"/><Relationship Id="rId28"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http://www.tkbi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C8F3-94D4-4134-BF2D-BDC754C016AF}">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4.xml><?xml version="1.0" encoding="utf-8"?>
<ds:datastoreItem xmlns:ds="http://schemas.openxmlformats.org/officeDocument/2006/customXml" ds:itemID="{70964BFA-1044-491D-BE28-0A0BEE56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21458</Words>
  <Characters>157373</Characters>
  <Application>Microsoft Office Word</Application>
  <DocSecurity>0</DocSecurity>
  <Lines>1311</Lines>
  <Paragraphs>356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4</cp:revision>
  <cp:lastPrinted>2022-10-06T12:29:00Z</cp:lastPrinted>
  <dcterms:created xsi:type="dcterms:W3CDTF">2024-05-03T11:27:00Z</dcterms:created>
  <dcterms:modified xsi:type="dcterms:W3CDTF">2024-05-08T09:39:00Z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